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1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PURSUANT TO SECTION 13 OR 15(D) OF THE</w:t>
      </w:r>
    </w:p>
    <w:p>
      <w:pPr>
        <w:ind w:left="232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2"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May 19, 1999</w:t>
      </w:r>
    </w:p>
    <w:p>
      <w:pPr>
        <w:jc w:val="center"/>
        <w:ind w:right="2319"/>
        <w:spacing w:after="0" w:line="238" w:lineRule="auto"/>
        <w:rPr>
          <w:sz w:val="20"/>
          <w:szCs w:val="20"/>
          <w:color w:val="auto"/>
        </w:rPr>
      </w:pPr>
      <w:r>
        <w:rPr>
          <w:rFonts w:ascii="Courier New" w:cs="Courier New" w:eastAsia="Courier New" w:hAnsi="Courier New"/>
          <w:sz w:val="18"/>
          <w:szCs w:val="18"/>
          <w:color w:val="auto"/>
        </w:rPr>
        <w:t>(Date of earliest event reported)</w:t>
      </w:r>
    </w:p>
    <w:p>
      <w:pPr>
        <w:spacing w:after="0" w:line="200" w:lineRule="exact"/>
        <w:rPr>
          <w:sz w:val="24"/>
          <w:szCs w:val="24"/>
          <w:color w:val="auto"/>
        </w:rPr>
      </w:pPr>
    </w:p>
    <w:p>
      <w:pPr>
        <w:spacing w:after="0" w:line="204"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DESIGNS, INC.</w:t>
      </w:r>
    </w:p>
    <w:p>
      <w:pPr>
        <w:spacing w:after="0" w:line="4"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649" w:right="1440" w:bottom="0" w:gutter="0" w:footer="0" w:header="0"/>
        </w:sectPr>
      </w:pPr>
    </w:p>
    <w:p>
      <w:pPr>
        <w:spacing w:after="0" w:line="200" w:lineRule="exact"/>
        <w:rPr>
          <w:sz w:val="24"/>
          <w:szCs w:val="24"/>
          <w:color w:val="auto"/>
        </w:rPr>
      </w:pPr>
    </w:p>
    <w:p>
      <w:pPr>
        <w:spacing w:after="0" w:line="22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0-15898</w:t>
      </w:r>
    </w:p>
    <w:p>
      <w:pPr>
        <w:spacing w:after="0" w:line="238" w:lineRule="auto"/>
        <w:rPr>
          <w:sz w:val="20"/>
          <w:szCs w:val="20"/>
          <w:color w:val="auto"/>
        </w:rPr>
      </w:pPr>
      <w:r>
        <w:rPr>
          <w:rFonts w:ascii="Courier New" w:cs="Courier New" w:eastAsia="Courier New" w:hAnsi="Courier New"/>
          <w:sz w:val="18"/>
          <w:szCs w:val="18"/>
          <w:color w:val="auto"/>
        </w:rPr>
        <w:t>(Commission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04-2623104</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2960" w:space="420"/>
            <w:col w:w="1920" w:space="720"/>
            <w:col w:w="4199"/>
          </w:cols>
          <w:pgMar w:left="240" w:top="649" w:right="1440" w:bottom="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66 B Street, Needham, Massachusetts 02494</w:t>
      </w:r>
    </w:p>
    <w:p>
      <w:pPr>
        <w:spacing w:after="0" w:line="4"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(Address of principal executive offices, including zip code)</w:t>
      </w:r>
    </w:p>
    <w:p>
      <w:pPr>
        <w:spacing w:after="0" w:line="200" w:lineRule="exact"/>
        <w:rPr>
          <w:sz w:val="24"/>
          <w:szCs w:val="24"/>
          <w:color w:val="auto"/>
        </w:rPr>
      </w:pPr>
    </w:p>
    <w:p>
      <w:pPr>
        <w:spacing w:after="0" w:line="221" w:lineRule="exact"/>
        <w:rPr>
          <w:sz w:val="24"/>
          <w:szCs w:val="24"/>
          <w:color w:val="auto"/>
        </w:rPr>
      </w:pPr>
    </w:p>
    <w:p>
      <w:pPr>
        <w:jc w:val="center"/>
        <w:ind w:right="2179"/>
        <w:spacing w:after="0"/>
        <w:rPr>
          <w:sz w:val="20"/>
          <w:szCs w:val="20"/>
          <w:color w:val="auto"/>
        </w:rPr>
      </w:pPr>
      <w:r>
        <w:rPr>
          <w:rFonts w:ascii="Courier New" w:cs="Courier New" w:eastAsia="Courier New" w:hAnsi="Courier New"/>
          <w:sz w:val="18"/>
          <w:szCs w:val="18"/>
          <w:color w:val="auto"/>
        </w:rPr>
        <w:t>(781) 444-7222</w:t>
      </w:r>
    </w:p>
    <w:p>
      <w:pPr>
        <w:jc w:val="center"/>
        <w:ind w:right="217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ectPr>
          <w:pgSz w:w="11900" w:h="16838" w:orient="portrait"/>
          <w:cols w:equalWidth="0" w:num="1">
            <w:col w:w="10219"/>
          </w:cols>
          <w:pgMar w:left="240" w:top="649"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left="120" w:right="2419" w:firstLine="527"/>
        <w:spacing w:after="0" w:line="237" w:lineRule="auto"/>
        <w:rPr>
          <w:sz w:val="20"/>
          <w:szCs w:val="20"/>
          <w:color w:val="auto"/>
        </w:rPr>
      </w:pPr>
      <w:r>
        <w:rPr>
          <w:rFonts w:ascii="Courier New" w:cs="Courier New" w:eastAsia="Courier New" w:hAnsi="Courier New"/>
          <w:sz w:val="18"/>
          <w:szCs w:val="18"/>
          <w:color w:val="auto"/>
        </w:rPr>
        <w:t>On May 19, 1999, Designs, Inc. (the "Company") amended (the "Second Amendment") the Company's Shareholder Rights Agreement dated as of May 1, 1995, and amended by a First Amendment dated as of October 6, 1997 (the "Rights Agreement"). Hereinafter, "Rights Agreement" shall include both the Second Amendment and the Rights Agreement.</w:t>
      </w:r>
    </w:p>
    <w:p>
      <w:pPr>
        <w:spacing w:after="0" w:line="209" w:lineRule="exact"/>
        <w:rPr>
          <w:sz w:val="24"/>
          <w:szCs w:val="24"/>
          <w:color w:val="auto"/>
        </w:rPr>
      </w:pPr>
    </w:p>
    <w:p>
      <w:pPr>
        <w:ind w:left="120" w:right="2319" w:firstLine="527"/>
        <w:spacing w:after="0" w:line="270" w:lineRule="auto"/>
        <w:rPr>
          <w:sz w:val="20"/>
          <w:szCs w:val="20"/>
          <w:color w:val="auto"/>
        </w:rPr>
      </w:pPr>
      <w:r>
        <w:rPr>
          <w:rFonts w:ascii="Courier New" w:cs="Courier New" w:eastAsia="Courier New" w:hAnsi="Courier New"/>
          <w:sz w:val="16"/>
          <w:szCs w:val="16"/>
          <w:color w:val="auto"/>
        </w:rPr>
        <w:t>The Second Amendment amends the definition of "Acquiring Person" in connection with the proposal by Jewelcor Management, Inc. ("Jewelcor") to explore the purchase of all of the issued and outstanding capital stock of the Company. The definition of "Acquiring Person" permits Stanley I . Berger and Jewelcor through its officers to act in concert to take actions through July 1, 1999 reasonably necessary or appropriate to seek consent from Levi Strauss &amp; Co. to the assignment, sublicense or transfer of the Company's rights and obligations under the Amended and Restated Trademark License Agreement made as of October 31, 1998, by and between the Company and Levi Strauss &amp; Co., to Jewelcor or its affiliates. Mr. Berger and Jewelcor or its officers, individually or collectively, will not be deemed to be an "Acquiring Person" as the result of such actions.</w:t>
      </w:r>
    </w:p>
    <w:p>
      <w:pPr>
        <w:spacing w:after="0" w:line="187" w:lineRule="exact"/>
        <w:rPr>
          <w:sz w:val="24"/>
          <w:szCs w:val="24"/>
          <w:color w:val="auto"/>
        </w:rPr>
      </w:pPr>
    </w:p>
    <w:p>
      <w:pPr>
        <w:ind w:left="120" w:right="2199" w:firstLine="527"/>
        <w:spacing w:after="0" w:line="237" w:lineRule="auto"/>
        <w:rPr>
          <w:sz w:val="20"/>
          <w:szCs w:val="20"/>
          <w:color w:val="auto"/>
        </w:rPr>
      </w:pPr>
      <w:r>
        <w:rPr>
          <w:rFonts w:ascii="Courier New" w:cs="Courier New" w:eastAsia="Courier New" w:hAnsi="Courier New"/>
          <w:sz w:val="18"/>
          <w:szCs w:val="18"/>
          <w:color w:val="auto"/>
        </w:rPr>
        <w:t>In addition, the Second Amendment modifies the Company's ability to appoint a "Co-Rights Agent" by requiring that the Company give ten days prior written notice to the "Rights Agent" prior to appointing a "Co-Rights Agent."</w:t>
      </w:r>
    </w:p>
    <w:p>
      <w:pPr>
        <w:spacing w:after="0" w:line="207" w:lineRule="exact"/>
        <w:rPr>
          <w:sz w:val="24"/>
          <w:szCs w:val="24"/>
          <w:color w:val="auto"/>
        </w:rPr>
      </w:pPr>
    </w:p>
    <w:p>
      <w:pPr>
        <w:ind w:left="120" w:right="2939" w:firstLine="527"/>
        <w:spacing w:after="0" w:line="236" w:lineRule="auto"/>
        <w:rPr>
          <w:sz w:val="20"/>
          <w:szCs w:val="20"/>
          <w:color w:val="auto"/>
        </w:rPr>
      </w:pPr>
      <w:r>
        <w:rPr>
          <w:rFonts w:ascii="Courier New" w:cs="Courier New" w:eastAsia="Courier New" w:hAnsi="Courier New"/>
          <w:sz w:val="18"/>
          <w:szCs w:val="18"/>
          <w:color w:val="auto"/>
        </w:rPr>
        <w:t>The foregoing description of the Rights does not purport to be complete and is qualified in its entirety by reference to the Rights Agreement and the Second Amendment.</w:t>
      </w:r>
    </w:p>
    <w:p>
      <w:pPr>
        <w:spacing w:after="0" w:line="209" w:lineRule="exact"/>
        <w:rPr>
          <w:sz w:val="24"/>
          <w:szCs w:val="24"/>
          <w:color w:val="auto"/>
        </w:rPr>
      </w:pPr>
    </w:p>
    <w:p>
      <w:pPr>
        <w:ind w:left="120" w:right="2199" w:firstLine="527"/>
        <w:spacing w:after="0" w:line="237" w:lineRule="auto"/>
        <w:rPr>
          <w:sz w:val="20"/>
          <w:szCs w:val="20"/>
          <w:color w:val="auto"/>
        </w:rPr>
      </w:pPr>
      <w:r>
        <w:rPr>
          <w:rFonts w:ascii="Courier New" w:cs="Courier New" w:eastAsia="Courier New" w:hAnsi="Courier New"/>
          <w:sz w:val="18"/>
          <w:szCs w:val="18"/>
          <w:color w:val="auto"/>
        </w:rPr>
        <w:t>A description of the Preferred Stock Purchase Rights is incorporated herein by reference to the Company's Amendment to Registration Statement on Form 8-A/A filed with the Securities and Exchange Commission as of October 10, 1997.</w:t>
      </w:r>
    </w:p>
    <w:p>
      <w:pPr>
        <w:spacing w:after="0" w:line="202"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EXHIBITS.</w:t>
      </w:r>
    </w:p>
    <w:p>
      <w:pPr>
        <w:spacing w:after="0" w:line="207" w:lineRule="exact"/>
        <w:rPr>
          <w:sz w:val="24"/>
          <w:szCs w:val="24"/>
          <w:color w:val="auto"/>
        </w:rPr>
      </w:pPr>
    </w:p>
    <w:p>
      <w:pPr>
        <w:ind w:left="1700" w:right="2319" w:hanging="1579"/>
        <w:spacing w:after="0" w:line="237" w:lineRule="auto"/>
        <w:tabs>
          <w:tab w:leader="none" w:pos="1680" w:val="left"/>
        </w:tabs>
        <w:rPr>
          <w:sz w:val="20"/>
          <w:szCs w:val="20"/>
          <w:color w:val="auto"/>
        </w:rPr>
      </w:pPr>
      <w:r>
        <w:rPr>
          <w:rFonts w:ascii="Courier New" w:cs="Courier New" w:eastAsia="Courier New" w:hAnsi="Courier New"/>
          <w:sz w:val="18"/>
          <w:szCs w:val="18"/>
          <w:color w:val="auto"/>
        </w:rPr>
        <w:t>Exhibit 4.1</w:t>
      </w:r>
      <w:r>
        <w:rPr>
          <w:sz w:val="20"/>
          <w:szCs w:val="20"/>
          <w:color w:val="auto"/>
        </w:rPr>
        <w:tab/>
      </w:r>
      <w:r>
        <w:rPr>
          <w:rFonts w:ascii="Courier New" w:cs="Courier New" w:eastAsia="Courier New" w:hAnsi="Courier New"/>
          <w:sz w:val="18"/>
          <w:szCs w:val="18"/>
          <w:color w:val="auto"/>
        </w:rPr>
        <w:t>Second Amendment dated as of May 19, 1999 to Shareholder Rights Agreement dated as of May 1, 1995, amended as of October 6, 1997, by and between Designs, Inc. and BankBoston, N.A. (formerly known as The First National Bank of Boston, N.A.) as Rights Agent.</w:t>
      </w:r>
    </w:p>
    <w:p>
      <w:pPr>
        <w:sectPr>
          <w:pgSz w:w="11900" w:h="16838" w:orient="portrait"/>
          <w:cols w:equalWidth="0" w:num="1">
            <w:col w:w="10219"/>
          </w:cols>
          <w:pgMar w:left="240" w:top="649" w:right="1440" w:bottom="0" w:gutter="0" w:footer="0" w:header="0"/>
          <w:type w:val="continuous"/>
        </w:sectPr>
      </w:pPr>
    </w:p>
    <w:bookmarkStart w:id="1" w:name="page2"/>
    <w:bookmarkEnd w:id="1"/>
    <w:p>
      <w:pPr>
        <w:ind w:left="33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199" w:firstLine="1053"/>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DESIGNS, INC.</w:t>
      </w:r>
    </w:p>
    <w:p>
      <w:pPr>
        <w:spacing w:after="0" w:line="200" w:lineRule="exact"/>
        <w:rPr>
          <w:sz w:val="20"/>
          <w:szCs w:val="20"/>
          <w:color w:val="auto"/>
        </w:rPr>
      </w:pPr>
    </w:p>
    <w:p>
      <w:pPr>
        <w:spacing w:after="0" w:line="204" w:lineRule="exact"/>
        <w:rPr>
          <w:sz w:val="20"/>
          <w:szCs w:val="20"/>
          <w:color w:val="auto"/>
        </w:rPr>
      </w:pPr>
    </w:p>
    <w:p>
      <w:pPr>
        <w:ind w:left="3160"/>
        <w:spacing w:after="0"/>
        <w:tabs>
          <w:tab w:leader="none" w:pos="3760" w:val="left"/>
          <w:tab w:leader="none" w:pos="4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Carolyn R. Faulkner</w:t>
      </w:r>
    </w:p>
    <w:p>
      <w:pPr>
        <w:ind w:left="378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tabs>
          <w:tab w:leader="none" w:pos="39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Carolyn R. Faulkner</w:t>
      </w:r>
    </w:p>
    <w:p>
      <w:pPr>
        <w:ind w:left="3160"/>
        <w:spacing w:after="0" w:line="237" w:lineRule="auto"/>
        <w:tabs>
          <w:tab w:leader="none" w:pos="3980" w:val="left"/>
        </w:tabs>
        <w:rPr>
          <w:sz w:val="20"/>
          <w:szCs w:val="20"/>
          <w:color w:val="auto"/>
        </w:rPr>
      </w:pPr>
      <w:r>
        <w:rPr>
          <w:rFonts w:ascii="Courier New" w:cs="Courier New" w:eastAsia="Courier New" w:hAnsi="Courier New"/>
          <w:sz w:val="18"/>
          <w:szCs w:val="18"/>
          <w:color w:val="auto"/>
        </w:rPr>
        <w:t>Title:</w:t>
        <w:tab/>
        <w:t>President, Chief Financial</w:t>
      </w:r>
    </w:p>
    <w:p>
      <w:pPr>
        <w:ind w:left="4000"/>
        <w:spacing w:after="0" w:line="238" w:lineRule="auto"/>
        <w:rPr>
          <w:sz w:val="20"/>
          <w:szCs w:val="20"/>
          <w:color w:val="auto"/>
        </w:rPr>
      </w:pPr>
      <w:r>
        <w:rPr>
          <w:rFonts w:ascii="Courier New" w:cs="Courier New" w:eastAsia="Courier New" w:hAnsi="Courier New"/>
          <w:sz w:val="18"/>
          <w:szCs w:val="18"/>
          <w:color w:val="auto"/>
        </w:rPr>
        <w:t>Officer and Treasurer</w:t>
      </w:r>
    </w:p>
    <w:p>
      <w:pPr>
        <w:spacing w:after="0" w:line="200" w:lineRule="exact"/>
        <w:rPr>
          <w:sz w:val="20"/>
          <w:szCs w:val="20"/>
          <w:color w:val="auto"/>
        </w:rPr>
      </w:pPr>
    </w:p>
    <w:p>
      <w:pPr>
        <w:spacing w:after="0" w:line="204"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8"/>
          <w:szCs w:val="18"/>
          <w:color w:val="auto"/>
        </w:rPr>
        <w:t>Dated:</w:t>
        <w:tab/>
        <w:t>May 25, 1999</w:t>
      </w:r>
    </w:p>
    <w:p>
      <w:pPr>
        <w:sectPr>
          <w:pgSz w:w="11900" w:h="16838" w:orient="portrait"/>
          <w:cols w:equalWidth="0" w:num="1">
            <w:col w:w="10099"/>
          </w:cols>
          <w:pgMar w:left="360" w:top="339" w:right="1440" w:bottom="1440" w:gutter="0" w:footer="0" w:header="0"/>
        </w:sectPr>
      </w:pPr>
    </w:p>
    <w:bookmarkStart w:id="2" w:name="page3"/>
    <w:bookmarkEnd w:id="2"/>
    <w:p>
      <w:pPr>
        <w:ind w:left="1587"/>
        <w:spacing w:after="0"/>
        <w:rPr>
          <w:sz w:val="20"/>
          <w:szCs w:val="20"/>
          <w:color w:val="auto"/>
        </w:rPr>
      </w:pPr>
      <w:r>
        <w:rPr>
          <w:rFonts w:ascii="Courier New" w:cs="Courier New" w:eastAsia="Courier New" w:hAnsi="Courier New"/>
          <w:sz w:val="18"/>
          <w:szCs w:val="18"/>
          <w:color w:val="auto"/>
        </w:rPr>
        <w:t>SECOND AMENDMENT TO SHAREHOLDER RIGHTS AGREEMENT</w:t>
      </w:r>
    </w:p>
    <w:p>
      <w:pPr>
        <w:spacing w:after="0" w:line="207" w:lineRule="exact"/>
        <w:rPr>
          <w:sz w:val="20"/>
          <w:szCs w:val="20"/>
          <w:color w:val="auto"/>
        </w:rPr>
      </w:pPr>
    </w:p>
    <w:p>
      <w:pPr>
        <w:ind w:left="7" w:right="2199" w:firstLine="1053"/>
        <w:spacing w:after="0" w:line="273" w:lineRule="auto"/>
        <w:rPr>
          <w:sz w:val="20"/>
          <w:szCs w:val="20"/>
          <w:color w:val="auto"/>
        </w:rPr>
      </w:pPr>
      <w:r>
        <w:rPr>
          <w:rFonts w:ascii="Courier New" w:cs="Courier New" w:eastAsia="Courier New" w:hAnsi="Courier New"/>
          <w:sz w:val="16"/>
          <w:szCs w:val="16"/>
          <w:color w:val="auto"/>
        </w:rPr>
        <w:t>This Second Amendment to the Shareholder Rights Agreement (this "Amendment") entered into as of this 19th day of May, 1999, by and between Designs, Inc., a Delaware corporation (the "Company"), and BankBoston, N.A. (formerly known as The First National Bank of Boston, N.A.), a national banking association, as Rights Agent (the "Rights Agent").</w:t>
      </w:r>
    </w:p>
    <w:p>
      <w:pPr>
        <w:spacing w:after="0" w:line="185" w:lineRule="exact"/>
        <w:rPr>
          <w:sz w:val="20"/>
          <w:szCs w:val="20"/>
          <w:color w:val="auto"/>
        </w:rPr>
      </w:pPr>
    </w:p>
    <w:p>
      <w:pPr>
        <w:ind w:left="7" w:right="2319" w:firstLine="1053"/>
        <w:spacing w:after="0" w:line="275" w:lineRule="auto"/>
        <w:rPr>
          <w:sz w:val="20"/>
          <w:szCs w:val="20"/>
          <w:color w:val="auto"/>
        </w:rPr>
      </w:pPr>
      <w:r>
        <w:rPr>
          <w:rFonts w:ascii="Courier New" w:cs="Courier New" w:eastAsia="Courier New" w:hAnsi="Courier New"/>
          <w:sz w:val="16"/>
          <w:szCs w:val="16"/>
          <w:color w:val="auto"/>
        </w:rPr>
        <w:t>WHEREAS, the Company entered into a Shareholder Rights Agreement with the Rights Agent, dated as of May 1, 1995 and amended by a First Amendment to Shareholder Rights Agreement (the "First Amendment") dated as of October 6, 1997 (as so amended, the "Rights Agreement"); and</w:t>
      </w:r>
    </w:p>
    <w:p>
      <w:pPr>
        <w:spacing w:after="0" w:line="182" w:lineRule="exact"/>
        <w:rPr>
          <w:sz w:val="20"/>
          <w:szCs w:val="20"/>
          <w:color w:val="auto"/>
        </w:rPr>
      </w:pPr>
    </w:p>
    <w:p>
      <w:pPr>
        <w:ind w:left="7" w:right="2199" w:firstLine="1053"/>
        <w:spacing w:after="0" w:line="236" w:lineRule="auto"/>
        <w:rPr>
          <w:sz w:val="20"/>
          <w:szCs w:val="20"/>
          <w:color w:val="auto"/>
        </w:rPr>
      </w:pPr>
      <w:r>
        <w:rPr>
          <w:rFonts w:ascii="Courier New" w:cs="Courier New" w:eastAsia="Courier New" w:hAnsi="Courier New"/>
          <w:sz w:val="18"/>
          <w:szCs w:val="18"/>
          <w:color w:val="auto"/>
        </w:rPr>
        <w:t>WHEREAS, the parties desire to further amend the Rights Agreement in accordance with Section 27 of the Rights Agreement in the manner described herein;</w:t>
      </w:r>
    </w:p>
    <w:p>
      <w:pPr>
        <w:spacing w:after="0" w:line="209" w:lineRule="exact"/>
        <w:rPr>
          <w:sz w:val="20"/>
          <w:szCs w:val="20"/>
          <w:color w:val="auto"/>
        </w:rPr>
      </w:pPr>
    </w:p>
    <w:p>
      <w:pPr>
        <w:ind w:left="7" w:right="2419" w:firstLine="1053"/>
        <w:spacing w:after="0" w:line="237" w:lineRule="auto"/>
        <w:rPr>
          <w:sz w:val="20"/>
          <w:szCs w:val="20"/>
          <w:color w:val="auto"/>
        </w:rPr>
      </w:pPr>
      <w:r>
        <w:rPr>
          <w:rFonts w:ascii="Courier New" w:cs="Courier New" w:eastAsia="Courier New" w:hAnsi="Courier New"/>
          <w:sz w:val="18"/>
          <w:szCs w:val="18"/>
          <w:color w:val="auto"/>
        </w:rPr>
        <w:t>NOW THEREFORE, in consideration of the foregoing and for other good and valuable consideration, the receipt and sufficiency of which are hereby acknowledged, the Company and the Rights Agent hereby agree as follows:</w:t>
      </w:r>
    </w:p>
    <w:p>
      <w:pPr>
        <w:spacing w:after="0" w:line="200" w:lineRule="exact"/>
        <w:rPr>
          <w:sz w:val="20"/>
          <w:szCs w:val="20"/>
          <w:color w:val="auto"/>
        </w:rPr>
      </w:pPr>
    </w:p>
    <w:p>
      <w:pPr>
        <w:spacing w:after="0" w:line="210" w:lineRule="exact"/>
        <w:rPr>
          <w:sz w:val="20"/>
          <w:szCs w:val="20"/>
          <w:color w:val="auto"/>
        </w:rPr>
      </w:pPr>
    </w:p>
    <w:p>
      <w:pPr>
        <w:jc w:val="both"/>
        <w:ind w:left="527" w:right="2519" w:hanging="527"/>
        <w:spacing w:after="0" w:line="290" w:lineRule="auto"/>
        <w:tabs>
          <w:tab w:leader="none" w:pos="52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1(a) of the Rights Agreement is hereby amended by inserting after the first paragraph of subsection (a) the following sentence:</w:t>
      </w:r>
    </w:p>
    <w:p>
      <w:pPr>
        <w:spacing w:after="0" w:line="170" w:lineRule="exact"/>
        <w:rPr>
          <w:sz w:val="20"/>
          <w:szCs w:val="20"/>
          <w:color w:val="auto"/>
        </w:rPr>
      </w:pPr>
    </w:p>
    <w:p>
      <w:pPr>
        <w:ind w:left="1047" w:right="2319"/>
        <w:spacing w:after="0" w:line="270" w:lineRule="auto"/>
        <w:rPr>
          <w:sz w:val="20"/>
          <w:szCs w:val="20"/>
          <w:color w:val="auto"/>
        </w:rPr>
      </w:pPr>
      <w:r>
        <w:rPr>
          <w:rFonts w:ascii="Courier New" w:cs="Courier New" w:eastAsia="Courier New" w:hAnsi="Courier New"/>
          <w:sz w:val="16"/>
          <w:szCs w:val="16"/>
          <w:color w:val="auto"/>
        </w:rPr>
        <w:t>Notwithstanding the foregoing, in connection with a proposed acquisition of the Company, as contemplated by the letter dated April 28, 1999, from Jewelcor Management, Inc. ("Jewelcor") to the Company, Stanley I. Berger and Jewelcor through its officers may act in concert to take actions through July 1, 1999 reasonably necessary or appropriate to seek consent from Levi Strauss &amp; Co. to the assignment, sublicense or transfer of the Company's rights and obligations under the Amended and Restated Trademark License Agreement made as of October 31, 1998, by and between Levi Strauss &amp; Co. and the Company, to Jewelcor or its affiliates, and neither Stanley I. Berger nor Jewelcor nor its officers, individually or collectively, will be deemed to be an Acquiring Person as a result of such actions.</w:t>
      </w:r>
    </w:p>
    <w:p>
      <w:pPr>
        <w:spacing w:after="0" w:line="389" w:lineRule="exact"/>
        <w:rPr>
          <w:sz w:val="20"/>
          <w:szCs w:val="20"/>
          <w:color w:val="auto"/>
        </w:rPr>
      </w:pPr>
    </w:p>
    <w:p>
      <w:pPr>
        <w:jc w:val="both"/>
        <w:ind w:left="527" w:right="2419" w:hanging="527"/>
        <w:spacing w:after="0" w:line="290" w:lineRule="auto"/>
        <w:tabs>
          <w:tab w:leader="none" w:pos="527"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2 of the Rights Agreement is hereby amended by inserting the following language after the word "desirable" in the third sentence:</w:t>
      </w:r>
    </w:p>
    <w:p>
      <w:pPr>
        <w:spacing w:after="0" w:line="169" w:lineRule="exact"/>
        <w:rPr>
          <w:rFonts w:ascii="Courier New" w:cs="Courier New" w:eastAsia="Courier New" w:hAnsi="Courier New"/>
          <w:sz w:val="16"/>
          <w:szCs w:val="16"/>
          <w:color w:val="auto"/>
        </w:rPr>
      </w:pPr>
    </w:p>
    <w:p>
      <w:pPr>
        <w:ind w:left="1047" w:right="2319" w:firstLine="7"/>
        <w:spacing w:after="0" w:line="237" w:lineRule="auto"/>
        <w:tabs>
          <w:tab w:leader="none" w:pos="1257"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ten (10) days' prior written notice to the Rights Agent. The Rights Agent shall have no duty to supervise and shall in no event be liable for the acts or omissions of any such co-Rights Agent.</w:t>
      </w:r>
    </w:p>
    <w:p>
      <w:pPr>
        <w:spacing w:after="0" w:line="207" w:lineRule="exact"/>
        <w:rPr>
          <w:rFonts w:ascii="Courier New" w:cs="Courier New" w:eastAsia="Courier New" w:hAnsi="Courier New"/>
          <w:sz w:val="18"/>
          <w:szCs w:val="18"/>
          <w:color w:val="auto"/>
        </w:rPr>
      </w:pPr>
    </w:p>
    <w:p>
      <w:pPr>
        <w:ind w:left="527" w:right="2319" w:hanging="527"/>
        <w:spacing w:after="0" w:line="235" w:lineRule="auto"/>
        <w:tabs>
          <w:tab w:leader="none" w:pos="52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26 of the Rights Agreement is hereby amended by replacing the address of Rights Agent with the following address:</w:t>
      </w:r>
    </w:p>
    <w:p>
      <w:pPr>
        <w:spacing w:after="0" w:line="203" w:lineRule="exact"/>
        <w:rPr>
          <w:sz w:val="20"/>
          <w:szCs w:val="20"/>
          <w:color w:val="auto"/>
        </w:rPr>
      </w:pPr>
    </w:p>
    <w:p>
      <w:pPr>
        <w:ind w:left="1047"/>
        <w:spacing w:after="0"/>
        <w:rPr>
          <w:sz w:val="20"/>
          <w:szCs w:val="20"/>
          <w:color w:val="auto"/>
        </w:rPr>
      </w:pPr>
      <w:r>
        <w:rPr>
          <w:rFonts w:ascii="Courier New" w:cs="Courier New" w:eastAsia="Courier New" w:hAnsi="Courier New"/>
          <w:sz w:val="18"/>
          <w:szCs w:val="18"/>
          <w:color w:val="auto"/>
        </w:rPr>
        <w:t>BankBoston, N.A.</w:t>
      </w:r>
    </w:p>
    <w:p>
      <w:pPr>
        <w:ind w:left="1047"/>
        <w:spacing w:after="0" w:line="238" w:lineRule="auto"/>
        <w:rPr>
          <w:sz w:val="20"/>
          <w:szCs w:val="20"/>
          <w:color w:val="auto"/>
        </w:rPr>
      </w:pPr>
      <w:r>
        <w:rPr>
          <w:rFonts w:ascii="Courier New" w:cs="Courier New" w:eastAsia="Courier New" w:hAnsi="Courier New"/>
          <w:sz w:val="18"/>
          <w:szCs w:val="18"/>
          <w:color w:val="auto"/>
        </w:rPr>
        <w:t>c/o Equiserve Limited Partnership</w:t>
      </w:r>
    </w:p>
    <w:p>
      <w:pPr>
        <w:ind w:left="1047"/>
        <w:spacing w:after="0"/>
        <w:rPr>
          <w:sz w:val="20"/>
          <w:szCs w:val="20"/>
          <w:color w:val="auto"/>
        </w:rPr>
      </w:pPr>
      <w:r>
        <w:rPr>
          <w:rFonts w:ascii="Courier New" w:cs="Courier New" w:eastAsia="Courier New" w:hAnsi="Courier New"/>
          <w:sz w:val="18"/>
          <w:szCs w:val="18"/>
          <w:color w:val="auto"/>
        </w:rPr>
        <w:t>150 Royall Street</w:t>
      </w:r>
    </w:p>
    <w:p>
      <w:pPr>
        <w:ind w:left="1047"/>
        <w:spacing w:after="0" w:line="237" w:lineRule="auto"/>
        <w:tabs>
          <w:tab w:leader="none" w:pos="3446" w:val="left"/>
        </w:tabs>
        <w:rPr>
          <w:sz w:val="20"/>
          <w:szCs w:val="20"/>
          <w:color w:val="auto"/>
        </w:rPr>
      </w:pPr>
      <w:r>
        <w:rPr>
          <w:rFonts w:ascii="Courier New" w:cs="Courier New" w:eastAsia="Courier New" w:hAnsi="Courier New"/>
          <w:sz w:val="18"/>
          <w:szCs w:val="18"/>
          <w:color w:val="auto"/>
        </w:rPr>
        <w:t>Canton, Massachusetts</w:t>
        <w:tab/>
        <w:t>02021</w:t>
      </w:r>
    </w:p>
    <w:p>
      <w:pPr>
        <w:ind w:left="1047"/>
        <w:spacing w:after="0"/>
        <w:tabs>
          <w:tab w:leader="none" w:pos="2306"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Client Administration</w:t>
      </w:r>
    </w:p>
    <w:p>
      <w:pPr>
        <w:spacing w:after="0" w:line="208" w:lineRule="exact"/>
        <w:rPr>
          <w:sz w:val="20"/>
          <w:szCs w:val="20"/>
          <w:color w:val="auto"/>
        </w:rPr>
      </w:pPr>
    </w:p>
    <w:p>
      <w:pPr>
        <w:ind w:left="527" w:right="2419" w:hanging="527"/>
        <w:spacing w:after="0" w:line="237" w:lineRule="auto"/>
        <w:tabs>
          <w:tab w:leader="none" w:pos="52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 "Agreement" as used in the Rights Agreement shall be deemed to refer to the Rights Agreement as amended hereby, and all other references to the Rights Agreement shall be deemed to include this Amendment.</w:t>
      </w:r>
    </w:p>
    <w:p>
      <w:pPr>
        <w:spacing w:after="0" w:line="207" w:lineRule="exact"/>
        <w:rPr>
          <w:rFonts w:ascii="Courier New" w:cs="Courier New" w:eastAsia="Courier New" w:hAnsi="Courier New"/>
          <w:sz w:val="18"/>
          <w:szCs w:val="18"/>
          <w:color w:val="auto"/>
        </w:rPr>
      </w:pPr>
    </w:p>
    <w:p>
      <w:pPr>
        <w:ind w:left="527" w:right="2319" w:hanging="527"/>
        <w:spacing w:after="0" w:line="279" w:lineRule="auto"/>
        <w:tabs>
          <w:tab w:leader="none" w:pos="527"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Amendment shall be effective as of the date first written above, and except as set forth herein, the Rights Agreement shall remain in full force and effect and otherwise shall be unaffected hereby.</w:t>
      </w:r>
    </w:p>
    <w:p>
      <w:pPr>
        <w:spacing w:after="0" w:line="178" w:lineRule="exact"/>
        <w:rPr>
          <w:rFonts w:ascii="Courier New" w:cs="Courier New" w:eastAsia="Courier New" w:hAnsi="Courier New"/>
          <w:sz w:val="16"/>
          <w:szCs w:val="16"/>
          <w:color w:val="auto"/>
        </w:rPr>
      </w:pPr>
    </w:p>
    <w:p>
      <w:pPr>
        <w:ind w:left="527" w:right="2519" w:hanging="527"/>
        <w:spacing w:after="0" w:line="236" w:lineRule="auto"/>
        <w:tabs>
          <w:tab w:leader="none" w:pos="52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Amendment may be executed in two or more counterparts, each of which shall be deemed an original but all of which together shall constitute one and the same instrument.</w:t>
      </w:r>
    </w:p>
    <w:p>
      <w:pPr>
        <w:spacing w:after="0" w:line="200" w:lineRule="exact"/>
        <w:rPr>
          <w:sz w:val="20"/>
          <w:szCs w:val="20"/>
          <w:color w:val="auto"/>
        </w:rPr>
      </w:pPr>
    </w:p>
    <w:p>
      <w:pPr>
        <w:spacing w:after="0" w:line="211" w:lineRule="exact"/>
        <w:rPr>
          <w:sz w:val="20"/>
          <w:szCs w:val="20"/>
          <w:color w:val="auto"/>
        </w:rPr>
      </w:pPr>
    </w:p>
    <w:p>
      <w:pPr>
        <w:ind w:left="7" w:right="2199" w:firstLine="1053"/>
        <w:spacing w:after="0" w:line="236" w:lineRule="auto"/>
        <w:rPr>
          <w:sz w:val="20"/>
          <w:szCs w:val="20"/>
          <w:color w:val="auto"/>
        </w:rPr>
      </w:pPr>
      <w:r>
        <w:rPr>
          <w:rFonts w:ascii="Courier New" w:cs="Courier New" w:eastAsia="Courier New" w:hAnsi="Courier New"/>
          <w:sz w:val="18"/>
          <w:szCs w:val="18"/>
          <w:color w:val="auto"/>
        </w:rPr>
        <w:t>IN WITNESS WHEREOF, the parties hereto have caused this Amendment to be duly executed and attested under seal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7"/>
        <w:spacing w:after="0"/>
        <w:tabs>
          <w:tab w:leader="none" w:pos="3666" w:val="left"/>
        </w:tabs>
        <w:rPr>
          <w:sz w:val="20"/>
          <w:szCs w:val="20"/>
          <w:color w:val="auto"/>
        </w:rPr>
      </w:pPr>
      <w:r>
        <w:rPr>
          <w:rFonts w:ascii="Courier New" w:cs="Courier New" w:eastAsia="Courier New" w:hAnsi="Courier New"/>
          <w:sz w:val="18"/>
          <w:szCs w:val="18"/>
          <w:color w:val="auto"/>
        </w:rPr>
        <w:t>Attest:</w:t>
      </w:r>
      <w:r>
        <w:rPr>
          <w:sz w:val="20"/>
          <w:szCs w:val="20"/>
          <w:color w:val="auto"/>
        </w:rPr>
        <w:tab/>
      </w:r>
      <w:r>
        <w:rPr>
          <w:rFonts w:ascii="Courier New" w:cs="Courier New" w:eastAsia="Courier New" w:hAnsi="Courier New"/>
          <w:sz w:val="18"/>
          <w:szCs w:val="18"/>
          <w:color w:val="auto"/>
        </w:rPr>
        <w:t>DESIGNS, INC.</w:t>
      </w:r>
    </w:p>
    <w:p>
      <w:pPr>
        <w:sectPr>
          <w:pgSz w:w="11900" w:h="16838" w:orient="portrait"/>
          <w:cols w:equalWidth="0" w:num="1">
            <w:col w:w="10106"/>
          </w:cols>
          <w:pgMar w:left="353" w:top="541" w:right="1440" w:bottom="0" w:gutter="0" w:footer="0" w:header="0"/>
        </w:sectPr>
      </w:pPr>
    </w:p>
    <w:bookmarkStart w:id="3" w:name="page4"/>
    <w:bookmarkEnd w:id="3"/>
    <w:p>
      <w:pPr>
        <w:spacing w:after="0" w:line="6" w:lineRule="exact"/>
        <w:rPr>
          <w:sz w:val="20"/>
          <w:szCs w:val="20"/>
          <w:color w:val="auto"/>
        </w:rPr>
      </w:pPr>
    </w:p>
    <w:p>
      <w:pPr>
        <w:ind w:left="100" w:right="220"/>
        <w:spacing w:after="0" w:line="237" w:lineRule="auto"/>
        <w:rPr>
          <w:sz w:val="20"/>
          <w:szCs w:val="20"/>
          <w:color w:val="auto"/>
        </w:rPr>
      </w:pPr>
      <w:r>
        <w:rPr>
          <w:rFonts w:ascii="Courier New" w:cs="Courier New" w:eastAsia="Courier New" w:hAnsi="Courier New"/>
          <w:sz w:val="18"/>
          <w:szCs w:val="18"/>
          <w:color w:val="auto"/>
        </w:rPr>
        <w:t>/s/ Scott N. Semel ------------------------- Name: Scott N. Semel Title: General Counsel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Joel H. Reichman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Joel H. Reichman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President and Chief Executive</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sectPr>
          <w:pgSz w:w="11900" w:h="16838" w:orient="portrait"/>
          <w:cols w:equalWidth="0" w:num="2">
            <w:col w:w="2960" w:space="720"/>
            <w:col w:w="6419"/>
          </w:cols>
          <w:pgMar w:left="360" w:top="3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BANKBOSTON, N.A.</w:t>
      </w:r>
    </w:p>
    <w:p>
      <w:pPr>
        <w:spacing w:after="0" w:line="200" w:lineRule="exact"/>
        <w:rPr>
          <w:sz w:val="20"/>
          <w:szCs w:val="20"/>
          <w:color w:val="auto"/>
        </w:rPr>
      </w:pPr>
    </w:p>
    <w:p>
      <w:pPr>
        <w:sectPr>
          <w:pgSz w:w="11900" w:h="16838" w:orient="portrait"/>
          <w:cols w:equalWidth="0" w:num="2">
            <w:col w:w="2960" w:space="720"/>
            <w:col w:w="6419"/>
          </w:cols>
          <w:pgMar w:left="360" w:top="339" w:right="1440" w:bottom="1440" w:gutter="0" w:footer="0" w:header="0"/>
          <w:type w:val="continuous"/>
        </w:sectPr>
      </w:pPr>
    </w:p>
    <w:p>
      <w:pPr>
        <w:spacing w:after="0" w:line="22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 Patricia DeLuca</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Name:</w:t>
        <w:tab/>
        <w:t>Patricia DeLuca</w:t>
      </w:r>
    </w:p>
    <w:p>
      <w:pPr>
        <w:ind w:left="100"/>
        <w:spacing w:after="0" w:line="238" w:lineRule="auto"/>
        <w:rPr>
          <w:sz w:val="20"/>
          <w:szCs w:val="20"/>
          <w:color w:val="auto"/>
        </w:rPr>
      </w:pPr>
      <w:r>
        <w:rPr>
          <w:rFonts w:ascii="Courier New" w:cs="Courier New" w:eastAsia="Courier New" w:hAnsi="Courier New"/>
          <w:sz w:val="18"/>
          <w:szCs w:val="18"/>
          <w:color w:val="auto"/>
        </w:rPr>
        <w:t>Title: Senior Account</w:t>
      </w:r>
    </w:p>
    <w:p>
      <w:pPr>
        <w:ind w:left="840"/>
        <w:spacing w:after="0"/>
        <w:rPr>
          <w:sz w:val="20"/>
          <w:szCs w:val="20"/>
          <w:color w:val="auto"/>
        </w:rPr>
      </w:pPr>
      <w:r>
        <w:rPr>
          <w:rFonts w:ascii="Courier New" w:cs="Courier New" w:eastAsia="Courier New" w:hAnsi="Courier New"/>
          <w:sz w:val="18"/>
          <w:szCs w:val="18"/>
          <w:color w:val="auto"/>
        </w:rPr>
        <w:t>Administrator</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Tyler Haynes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Tyler Haynes</w:t>
      </w:r>
    </w:p>
    <w:p>
      <w:pPr>
        <w:spacing w:after="0" w:line="238" w:lineRule="auto"/>
        <w:rPr>
          <w:sz w:val="20"/>
          <w:szCs w:val="20"/>
          <w:color w:val="auto"/>
        </w:rPr>
      </w:pPr>
      <w:r>
        <w:rPr>
          <w:rFonts w:ascii="Courier New" w:cs="Courier New" w:eastAsia="Courier New" w:hAnsi="Courier New"/>
          <w:sz w:val="18"/>
          <w:szCs w:val="18"/>
          <w:color w:val="auto"/>
        </w:rPr>
        <w:t>Title: Managing Director</w:t>
      </w:r>
    </w:p>
    <w:sectPr>
      <w:pgSz w:w="11900" w:h="16838" w:orient="portrait"/>
      <w:cols w:equalWidth="0" w:num="2">
        <w:col w:w="2960" w:space="720"/>
        <w:col w:w="6419"/>
      </w:cols>
      <w:pgMar w:left="360" w:top="33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lvl w:ilvl="1">
      <w:lvlJc w:val="left"/>
      <w:lvlText w:val=","/>
      <w:numFmt w:val="bullet"/>
      <w:start w:val="1"/>
    </w:lvl>
  </w:abstractNum>
  <w:abstractNum w:abstractNumId="2">
    <w:nsid w:val="19495CFF"/>
    <w:multiLevelType w:val="hybridMultilevel"/>
    <w:lvl w:ilvl="0">
      <w:lvlJc w:val="left"/>
      <w:lvlText w:val="%1."/>
      <w:numFmt w:val="decimal"/>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2019-12-20T06:46:55Z</dcterms:created>
  <dcterms:modified xsi:type="dcterms:W3CDTF">2019-12-20T06:46:55Z</dcterms:modified>
</cp:coreProperties>
</file>